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莞e申报通行码”生成操作指引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1303655</wp:posOffset>
            </wp:positionV>
            <wp:extent cx="2466340" cy="4936490"/>
            <wp:effectExtent l="0" t="0" r="10160" b="16510"/>
            <wp:wrapSquare wrapText="bothSides"/>
            <wp:docPr id="1" name="图片 1" descr="7de88a43874e67dae5012ef18dc8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de88a43874e67dae5012ef18dc846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66340" cy="4936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2981325</wp:posOffset>
            </wp:positionH>
            <wp:positionV relativeFrom="paragraph">
              <wp:posOffset>1216025</wp:posOffset>
            </wp:positionV>
            <wp:extent cx="2533650" cy="4932045"/>
            <wp:effectExtent l="0" t="0" r="0" b="1905"/>
            <wp:wrapSquare wrapText="bothSides"/>
            <wp:docPr id="2" name="图片 2" descr="158337895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583378957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4932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一、关注“莞e申报”公众号。打开微信，搜索微信公众号“莞e申报”，点击“关注公众号”进入，点击“申报”→“个人预申报”→填写信息并提交 ；</w:t>
      </w:r>
      <w:r>
        <w:rPr>
          <w:lang w:val="en-US" w:eastAsia="zh-CN"/>
        </w:rPr>
        <w:br w:type="textWrapping"/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304800" cy="304800"/>
            <wp:effectExtent l="0" t="0" r="0" b="0"/>
            <wp:docPr id="18" name="图片 18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6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lang w:val="en-US" w:eastAsia="zh-CN"/>
        </w:rPr>
      </w:pPr>
    </w:p>
    <w:p>
      <w:pPr>
        <w:rPr>
          <w:lang w:val="en-US" w:eastAsia="zh-CN"/>
        </w:rPr>
      </w:pPr>
    </w:p>
    <w:p>
      <w:pPr>
        <w:rPr>
          <w:lang w:val="en-US" w:eastAsia="zh-CN"/>
        </w:rPr>
      </w:pPr>
    </w:p>
    <w:p>
      <w:pPr>
        <w:rPr>
          <w:lang w:val="en-US" w:eastAsia="zh-CN"/>
        </w:rPr>
      </w:pPr>
    </w:p>
    <w:p>
      <w:pPr>
        <w:rPr>
          <w:lang w:val="en-US" w:eastAsia="zh-CN"/>
        </w:rPr>
      </w:pPr>
    </w:p>
    <w:p>
      <w:pPr>
        <w:rPr>
          <w:lang w:val="en-US" w:eastAsia="zh-CN"/>
        </w:rPr>
      </w:pPr>
    </w:p>
    <w:p>
      <w:pPr>
        <w:rPr>
          <w:lang w:val="en-US" w:eastAsia="zh-CN"/>
        </w:rPr>
      </w:pPr>
    </w:p>
    <w:p>
      <w:pPr>
        <w:rPr>
          <w:lang w:val="en-US" w:eastAsia="zh-CN"/>
        </w:rPr>
      </w:pPr>
    </w:p>
    <w:p>
      <w:pPr>
        <w:rPr>
          <w:lang w:val="en-US" w:eastAsia="zh-CN"/>
        </w:rPr>
      </w:pPr>
    </w:p>
    <w:p>
      <w:pPr>
        <w:rPr>
          <w:lang w:val="en-US" w:eastAsia="zh-CN"/>
        </w:rPr>
      </w:pPr>
    </w:p>
    <w:p>
      <w:pPr>
        <w:rPr>
          <w:lang w:val="en-US" w:eastAsia="zh-CN"/>
        </w:rPr>
      </w:pPr>
    </w:p>
    <w:p>
      <w:pPr>
        <w:rPr>
          <w:lang w:val="en-US" w:eastAsia="zh-CN"/>
        </w:rPr>
      </w:pPr>
    </w:p>
    <w:p>
      <w:pPr>
        <w:rPr>
          <w:lang w:val="en-US" w:eastAsia="zh-CN"/>
        </w:rPr>
      </w:pPr>
    </w:p>
    <w:p>
      <w:pPr>
        <w:rPr>
          <w:lang w:val="en-US" w:eastAsia="zh-CN"/>
        </w:rPr>
      </w:pPr>
    </w:p>
    <w:p>
      <w:pPr>
        <w:rPr>
          <w:lang w:val="en-US" w:eastAsia="zh-CN"/>
        </w:rPr>
      </w:pPr>
    </w:p>
    <w:p>
      <w:pPr>
        <w:rPr>
          <w:lang w:val="en-US" w:eastAsia="zh-CN"/>
        </w:rPr>
      </w:pPr>
    </w:p>
    <w:p>
      <w:pPr>
        <w:rPr>
          <w:lang w:val="en-US" w:eastAsia="zh-CN"/>
        </w:rPr>
      </w:pPr>
    </w:p>
    <w:p>
      <w:pPr>
        <w:rPr>
          <w:lang w:val="en-US" w:eastAsia="zh-CN"/>
        </w:rPr>
      </w:pPr>
    </w:p>
    <w:p>
      <w:pPr>
        <w:rPr>
          <w:lang w:val="en-US" w:eastAsia="zh-CN"/>
        </w:rPr>
      </w:pPr>
    </w:p>
    <w:p>
      <w:pPr>
        <w:rPr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1352550</wp:posOffset>
            </wp:positionV>
            <wp:extent cx="2508250" cy="4932045"/>
            <wp:effectExtent l="0" t="0" r="6350" b="1905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493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3009900</wp:posOffset>
            </wp:positionH>
            <wp:positionV relativeFrom="paragraph">
              <wp:posOffset>1357630</wp:posOffset>
            </wp:positionV>
            <wp:extent cx="2663825" cy="4932045"/>
            <wp:effectExtent l="0" t="0" r="3175" b="1905"/>
            <wp:wrapSquare wrapText="bothSides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3825" cy="493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提交后生成人个通行码，可以截图保存，或者在“莞e申报”公众号菜单左下角，点击“申报”-“通行码查询”，输入个人相关信息，查询找回个人通行码。</w:t>
      </w: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请所有获得入校许可后需要进入东莞校区的师生员工，入校时自觉向门岗校卫队员出示“个人通行码”。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7EBF5"/>
    <w:multiLevelType w:val="singleLevel"/>
    <w:tmpl w:val="12F7EBF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EE6E31"/>
    <w:rsid w:val="316805DA"/>
    <w:rsid w:val="4D26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../NUL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2020-03-05T03:40:09Z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